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140"/>
      </w:pPr>
      <w:r>
        <w:rPr>
          <w:rFonts w:ascii="Arial" w:hAnsi="Arial" w:eastAsia="Microsoft YaHei"/>
          <w:b/>
          <w:color w:val="000000"/>
          <w:sz w:val="34"/>
        </w:rPr>
        <w:t>上海黄海药检YPD-200C型片剂硬度仪 药片硬度计 硬度检测仪</w:t>
      </w:r>
    </w:p>
    <w:p>
      <w:pPr>
        <w:spacing w:after="200"/>
      </w:pPr>
      <w:r>
        <w:rPr>
          <w:rFonts w:ascii="Arial" w:hAnsi="Arial" w:eastAsia="Microsoft YaHei"/>
          <w:color w:val="637B8A"/>
          <w:sz w:val="18"/>
        </w:rPr>
        <w:t>产品资料  |  型号 YPD-200C</w:t>
      </w:r>
    </w:p>
    <w:tbl>
      <w:tblPr>
        <w:tblW w:type="auto" w:w="0"/>
        <w:jc w:val="center"/>
        <w:tblLayout w:type="fixed"/>
        <w:tblLook w:firstColumn="1" w:firstRow="1" w:lastColumn="0" w:lastRow="0" w:noHBand="0" w:noVBand="1" w:val="04A0"/>
      </w:tblPr>
      <w:tblGrid>
        <w:gridCol w:w="4819"/>
        <w:gridCol w:w="4819"/>
      </w:tblGrid>
      <w:tr>
        <w:trPr>
          <w:cantSplit/>
        </w:trPr>
        <w:tc>
          <w:tcPr>
            <w:tcW w:type="dxa" w:w="4819"/>
          </w:tcPr>
          <w:p>
            <w:pPr>
              <w:jc w:val="center"/>
            </w:pPr>
            <w:r>
              <w:drawing>
                <wp:inline xmlns:a="http://schemas.openxmlformats.org/drawingml/2006/main" xmlns:pic="http://schemas.openxmlformats.org/drawingml/2006/picture">
                  <wp:extent cx="1697350" cy="132588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697350" cy="1325880"/>
                          </a:xfrm>
                          <a:prstGeom prst="rect"/>
                        </pic:spPr>
                      </pic:pic>
                    </a:graphicData>
                  </a:graphic>
                </wp:inline>
              </w:drawing>
            </w:r>
          </w:p>
        </w:tc>
        <w:tc>
          <w:tcPr>
            <w:tcW w:type="dxa" w:w="4819"/>
          </w:tcPr>
          <w:p>
            <w:pPr>
              <w:jc w:val="center"/>
            </w:pPr>
            <w:r>
              <w:drawing>
                <wp:inline xmlns:a="http://schemas.openxmlformats.org/drawingml/2006/main" xmlns:pic="http://schemas.openxmlformats.org/drawingml/2006/picture">
                  <wp:extent cx="1697350" cy="1325880"/>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697350" cy="1325880"/>
                          </a:xfrm>
                          <a:prstGeom prst="rect"/>
                        </pic:spPr>
                      </pic:pic>
                    </a:graphicData>
                  </a:graphic>
                </wp:inline>
              </w:drawing>
            </w:r>
          </w:p>
        </w:tc>
      </w:tr>
    </w:tbl>
    <w:p>
      <w:pPr>
        <w:spacing w:after="20"/>
      </w:pPr>
    </w:p>
    <w:p>
      <w:pPr>
        <w:pStyle w:val="Heading1"/>
        <w:keepNext/>
      </w:pPr>
      <w:r>
        <w:t>产品简介</w:t>
      </w:r>
    </w:p>
    <w:p>
      <w:r>
        <w:t>片剂硬度的检测在其研发、生产过程和最后的成品中起着至关重要的作用，YPD-200C型片剂硬度测定仪在检测过程中可以自动记录和统计检测药片的最大值、最小值和平均值。</w:t>
      </w:r>
    </w:p>
    <w:p>
      <w:pPr>
        <w:pStyle w:val="Heading2"/>
        <w:keepNext/>
      </w:pPr>
      <w:r>
        <w:t>产品特点</w:t>
      </w:r>
    </w:p>
    <w:p>
      <w:pPr>
        <w:pStyle w:val="ListBullet"/>
        <w:spacing w:after="80"/>
      </w:pPr>
      <w:r>
        <w:t>试验记录输出（打印/USB）。</w:t>
      </w:r>
    </w:p>
    <w:p>
      <w:pPr>
        <w:pStyle w:val="ListBullet"/>
        <w:spacing w:after="80"/>
      </w:pPr>
      <w:r>
        <w:t>触摸式人机交互界面，操作便捷。</w:t>
      </w:r>
    </w:p>
    <w:p>
      <w:pPr>
        <w:pStyle w:val="ListBullet"/>
        <w:spacing w:after="80"/>
      </w:pPr>
      <w:r>
        <w:t>中英文双语言操作界面，可以满足更多用户的需求。</w:t>
      </w:r>
    </w:p>
    <w:p>
      <w:pPr>
        <w:pStyle w:val="ListBullet"/>
        <w:spacing w:after="80"/>
      </w:pPr>
      <w:r>
        <w:t>单片或连续多片测试。</w:t>
      </w:r>
    </w:p>
    <w:p>
      <w:pPr>
        <w:pStyle w:val="ListBullet"/>
        <w:spacing w:after="80"/>
      </w:pPr>
      <w:r>
        <w:t>对测量数值自动记录、统计、分析。</w:t>
      </w:r>
    </w:p>
    <w:p>
      <w:pPr>
        <w:pStyle w:val="ListBullet"/>
        <w:spacing w:after="80"/>
      </w:pPr>
      <w:r>
        <w:t>检测仓上方的可视窗口，清晰直观每次测试过程。</w:t>
      </w:r>
    </w:p>
    <w:p>
      <w:pPr>
        <w:pStyle w:val="ListBullet"/>
        <w:spacing w:after="80"/>
      </w:pPr>
      <w:r>
        <w:t>可方便快捷的开启计量校验口。</w:t>
      </w:r>
    </w:p>
    <w:p>
      <w:pPr>
        <w:pStyle w:val="ListBullet"/>
        <w:spacing w:after="80"/>
      </w:pPr>
      <w:r>
        <w:t>直流12V工作电压，采用全球通用电压适配器，方便可靠。</w:t>
      </w:r>
    </w:p>
    <w:p>
      <w:pPr>
        <w:pStyle w:val="ListBullet"/>
        <w:spacing w:after="80"/>
      </w:pPr>
      <w:r>
        <w:t>免费提供IQ/OQ验证文件。</w:t>
      </w:r>
    </w:p>
    <w:p>
      <w:pPr>
        <w:jc w:val="center"/>
      </w:pPr>
      <w:r>
        <w:drawing>
          <wp:inline xmlns:a="http://schemas.openxmlformats.org/drawingml/2006/main" xmlns:pic="http://schemas.openxmlformats.org/drawingml/2006/picture">
            <wp:extent cx="2927801" cy="2194560"/>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2927801" cy="2194560"/>
                    </a:xfrm>
                    <a:prstGeom prst="rect"/>
                  </pic:spPr>
                </pic:pic>
              </a:graphicData>
            </a:graphic>
          </wp:inline>
        </w:drawing>
      </w:r>
    </w:p>
    <w:p>
      <w:pPr>
        <w:pStyle w:val="Heading2"/>
        <w:keepNext/>
      </w:pPr>
      <w:r>
        <w:t>技术参数</w:t>
      </w:r>
    </w:p>
    <w:tbl>
      <w:tblPr>
        <w:tblStyle w:val="TableGrid"/>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819"/>
        <w:gridCol w:w="4819"/>
      </w:tblGrid>
      <w:tr>
        <w:trPr>
          <w:cantSplit/>
          <w:tblHeader/>
        </w:trPr>
        <w:tc>
          <w:tcPr>
            <w:tcW w:type="dxa" w:w="3855"/>
            <w:vAlign w:val="center"/>
            <w:shd w:fill="EAF3F8"/>
          </w:tcPr>
          <w:p>
            <w:pPr>
              <w:keepNext w:val="0"/>
              <w:spacing w:after="60" w:before="60" w:line="276" w:lineRule="auto"/>
            </w:pPr>
            <w:r>
              <w:rPr>
                <w:rFonts w:ascii="Arial" w:hAnsi="Arial" w:eastAsia="Microsoft YaHei"/>
                <w:b/>
                <w:sz w:val="20"/>
              </w:rPr>
              <w:t>项目</w:t>
            </w:r>
          </w:p>
        </w:tc>
        <w:tc>
          <w:tcPr>
            <w:tcW w:type="dxa" w:w="5783"/>
            <w:vAlign w:val="center"/>
            <w:shd w:fill="EAF3F8"/>
          </w:tcPr>
          <w:p>
            <w:pPr>
              <w:keepNext w:val="0"/>
              <w:spacing w:after="60" w:before="60" w:line="276" w:lineRule="auto"/>
            </w:pPr>
            <w:r>
              <w:rPr>
                <w:rFonts w:ascii="Arial" w:hAnsi="Arial" w:eastAsia="Microsoft YaHei"/>
                <w:b/>
                <w:sz w:val="20"/>
              </w:rPr>
              <w:t>参数</w:t>
            </w:r>
          </w:p>
        </w:tc>
      </w:tr>
      <w:tr>
        <w:trPr>
          <w:cantSplit/>
        </w:trPr>
        <w:tc>
          <w:tcPr>
            <w:tcW w:type="dxa" w:w="3855"/>
            <w:vAlign w:val="center"/>
          </w:tcPr>
          <w:p>
            <w:pPr>
              <w:keepNext w:val="0"/>
              <w:spacing w:after="60" w:before="60" w:line="276" w:lineRule="auto"/>
            </w:pPr>
            <w:r>
              <w:rPr>
                <w:rFonts w:ascii="Arial" w:hAnsi="Arial" w:eastAsia="Microsoft YaHei"/>
                <w:b/>
                <w:sz w:val="20"/>
              </w:rPr>
              <w:t>产品型号</w:t>
            </w:r>
          </w:p>
        </w:tc>
        <w:tc>
          <w:tcPr>
            <w:tcW w:type="dxa" w:w="5783"/>
            <w:vAlign w:val="center"/>
          </w:tcPr>
          <w:p>
            <w:pPr>
              <w:keepNext w:val="0"/>
              <w:spacing w:after="60" w:before="60" w:line="276" w:lineRule="auto"/>
            </w:pPr>
            <w:r>
              <w:rPr>
                <w:rFonts w:ascii="Arial" w:hAnsi="Arial" w:eastAsia="Microsoft YaHei"/>
                <w:b w:val="0"/>
                <w:sz w:val="20"/>
              </w:rPr>
              <w:t>YPD-200C</w:t>
            </w:r>
          </w:p>
        </w:tc>
      </w:tr>
      <w:tr>
        <w:trPr>
          <w:cantSplit/>
        </w:trPr>
        <w:tc>
          <w:tcPr>
            <w:tcW w:type="dxa" w:w="3855"/>
            <w:vAlign w:val="center"/>
          </w:tcPr>
          <w:p>
            <w:pPr>
              <w:keepNext w:val="0"/>
              <w:spacing w:after="60" w:before="60" w:line="276" w:lineRule="auto"/>
            </w:pPr>
            <w:r>
              <w:rPr>
                <w:rFonts w:ascii="Arial" w:hAnsi="Arial" w:eastAsia="Microsoft YaHei"/>
                <w:b/>
                <w:sz w:val="20"/>
              </w:rPr>
              <w:t>硬度测量范围</w:t>
            </w:r>
          </w:p>
        </w:tc>
        <w:tc>
          <w:tcPr>
            <w:tcW w:type="dxa" w:w="5783"/>
            <w:vAlign w:val="center"/>
          </w:tcPr>
          <w:p>
            <w:pPr>
              <w:keepNext w:val="0"/>
              <w:spacing w:after="60" w:before="60" w:line="276" w:lineRule="auto"/>
            </w:pPr>
            <w:r>
              <w:rPr>
                <w:rFonts w:ascii="Arial" w:hAnsi="Arial" w:eastAsia="Microsoft YaHei"/>
                <w:b w:val="0"/>
                <w:sz w:val="20"/>
              </w:rPr>
              <w:t>10–200N</w:t>
            </w:r>
          </w:p>
        </w:tc>
      </w:tr>
      <w:tr>
        <w:trPr>
          <w:cantSplit/>
        </w:trPr>
        <w:tc>
          <w:tcPr>
            <w:tcW w:type="dxa" w:w="3855"/>
            <w:vAlign w:val="center"/>
          </w:tcPr>
          <w:p>
            <w:pPr>
              <w:keepNext w:val="0"/>
              <w:spacing w:after="60" w:before="60" w:line="276" w:lineRule="auto"/>
            </w:pPr>
            <w:r>
              <w:rPr>
                <w:rFonts w:ascii="Arial" w:hAnsi="Arial" w:eastAsia="Microsoft YaHei"/>
                <w:b/>
                <w:sz w:val="20"/>
              </w:rPr>
              <w:t>分辨率</w:t>
            </w:r>
          </w:p>
        </w:tc>
        <w:tc>
          <w:tcPr>
            <w:tcW w:type="dxa" w:w="5783"/>
            <w:vAlign w:val="center"/>
          </w:tcPr>
          <w:p>
            <w:pPr>
              <w:keepNext w:val="0"/>
              <w:spacing w:after="60" w:before="60" w:line="276" w:lineRule="auto"/>
            </w:pPr>
            <w:r>
              <w:rPr>
                <w:rFonts w:ascii="Arial" w:hAnsi="Arial" w:eastAsia="Microsoft YaHei"/>
                <w:b w:val="0"/>
                <w:sz w:val="20"/>
              </w:rPr>
              <w:t>0.01N</w:t>
            </w:r>
          </w:p>
        </w:tc>
      </w:tr>
      <w:tr>
        <w:trPr>
          <w:cantSplit/>
        </w:trPr>
        <w:tc>
          <w:tcPr>
            <w:tcW w:type="dxa" w:w="3855"/>
            <w:vAlign w:val="center"/>
          </w:tcPr>
          <w:p>
            <w:pPr>
              <w:keepNext w:val="0"/>
              <w:spacing w:after="60" w:before="60" w:line="276" w:lineRule="auto"/>
            </w:pPr>
            <w:r>
              <w:rPr>
                <w:rFonts w:ascii="Arial" w:hAnsi="Arial" w:eastAsia="Microsoft YaHei"/>
                <w:b/>
                <w:sz w:val="20"/>
              </w:rPr>
              <w:t>精度</w:t>
            </w:r>
          </w:p>
        </w:tc>
        <w:tc>
          <w:tcPr>
            <w:tcW w:type="dxa" w:w="5783"/>
            <w:vAlign w:val="center"/>
          </w:tcPr>
          <w:p>
            <w:pPr>
              <w:keepNext w:val="0"/>
              <w:spacing w:after="60" w:before="60" w:line="276" w:lineRule="auto"/>
            </w:pPr>
            <w:r>
              <w:rPr>
                <w:rFonts w:ascii="Arial" w:hAnsi="Arial" w:eastAsia="Microsoft YaHei"/>
                <w:b w:val="0"/>
                <w:sz w:val="20"/>
              </w:rPr>
              <w:t>±1.5%±1digit</w:t>
            </w:r>
          </w:p>
        </w:tc>
      </w:tr>
      <w:tr>
        <w:trPr>
          <w:cantSplit/>
        </w:trPr>
        <w:tc>
          <w:tcPr>
            <w:tcW w:type="dxa" w:w="3855"/>
            <w:vAlign w:val="center"/>
          </w:tcPr>
          <w:p>
            <w:pPr>
              <w:keepNext w:val="0"/>
              <w:spacing w:after="60" w:before="60" w:line="276" w:lineRule="auto"/>
            </w:pPr>
            <w:r>
              <w:rPr>
                <w:rFonts w:ascii="Arial" w:hAnsi="Arial" w:eastAsia="Microsoft YaHei"/>
                <w:b/>
                <w:sz w:val="20"/>
              </w:rPr>
              <w:t>单位</w:t>
            </w:r>
          </w:p>
        </w:tc>
        <w:tc>
          <w:tcPr>
            <w:tcW w:type="dxa" w:w="5783"/>
            <w:vAlign w:val="center"/>
          </w:tcPr>
          <w:p>
            <w:pPr>
              <w:keepNext w:val="0"/>
              <w:spacing w:after="60" w:before="60" w:line="276" w:lineRule="auto"/>
            </w:pPr>
            <w:r>
              <w:rPr>
                <w:rFonts w:ascii="Arial" w:hAnsi="Arial" w:eastAsia="Microsoft YaHei"/>
                <w:b w:val="0"/>
                <w:sz w:val="20"/>
              </w:rPr>
              <w:t>N/kgf/kp（可选）</w:t>
            </w:r>
          </w:p>
        </w:tc>
      </w:tr>
      <w:tr>
        <w:trPr>
          <w:cantSplit/>
        </w:trPr>
        <w:tc>
          <w:tcPr>
            <w:tcW w:type="dxa" w:w="3855"/>
            <w:vAlign w:val="center"/>
          </w:tcPr>
          <w:p>
            <w:pPr>
              <w:keepNext w:val="0"/>
              <w:spacing w:after="60" w:before="60" w:line="276" w:lineRule="auto"/>
            </w:pPr>
            <w:r>
              <w:rPr>
                <w:rFonts w:ascii="Arial" w:hAnsi="Arial" w:eastAsia="Microsoft YaHei"/>
                <w:b/>
                <w:sz w:val="20"/>
              </w:rPr>
              <w:t>测量方式</w:t>
            </w:r>
          </w:p>
        </w:tc>
        <w:tc>
          <w:tcPr>
            <w:tcW w:type="dxa" w:w="5783"/>
            <w:vAlign w:val="center"/>
          </w:tcPr>
          <w:p>
            <w:pPr>
              <w:keepNext w:val="0"/>
              <w:spacing w:after="60" w:before="60" w:line="276" w:lineRule="auto"/>
            </w:pPr>
            <w:r>
              <w:rPr>
                <w:rFonts w:ascii="Arial" w:hAnsi="Arial" w:eastAsia="Microsoft YaHei"/>
                <w:b w:val="0"/>
                <w:sz w:val="20"/>
              </w:rPr>
              <w:t>单片/连续多片</w:t>
            </w:r>
          </w:p>
        </w:tc>
      </w:tr>
      <w:tr>
        <w:trPr>
          <w:cantSplit/>
        </w:trPr>
        <w:tc>
          <w:tcPr>
            <w:tcW w:type="dxa" w:w="3855"/>
            <w:vAlign w:val="center"/>
          </w:tcPr>
          <w:p>
            <w:pPr>
              <w:keepNext w:val="0"/>
              <w:spacing w:after="60" w:before="60" w:line="276" w:lineRule="auto"/>
            </w:pPr>
            <w:r>
              <w:rPr>
                <w:rFonts w:ascii="Arial" w:hAnsi="Arial" w:eastAsia="Microsoft YaHei"/>
                <w:b/>
                <w:sz w:val="20"/>
              </w:rPr>
              <w:t>电源</w:t>
            </w:r>
          </w:p>
        </w:tc>
        <w:tc>
          <w:tcPr>
            <w:tcW w:type="dxa" w:w="5783"/>
            <w:vAlign w:val="center"/>
          </w:tcPr>
          <w:p>
            <w:pPr>
              <w:keepNext w:val="0"/>
              <w:spacing w:after="60" w:before="60" w:line="276" w:lineRule="auto"/>
            </w:pPr>
            <w:r>
              <w:rPr>
                <w:rFonts w:ascii="Arial" w:hAnsi="Arial" w:eastAsia="Microsoft YaHei"/>
                <w:b w:val="0"/>
                <w:sz w:val="20"/>
              </w:rPr>
              <w:t>DC12V 3.0A</w:t>
            </w:r>
          </w:p>
        </w:tc>
      </w:tr>
    </w:tbl>
    <w:p>
      <w:pPr>
        <w:spacing w:after="40"/>
      </w:pPr>
    </w:p>
    <w:p>
      <w:pPr>
        <w:spacing w:before="200"/>
      </w:pPr>
      <w:r>
        <w:rPr>
          <w:rFonts w:ascii="Arial" w:hAnsi="Arial" w:eastAsia="Microsoft YaHei"/>
          <w:color w:val="637B8A"/>
          <w:sz w:val="17"/>
        </w:rPr>
        <w:t>产品页面 https://www.shhuanghai.cn/pianjiyingduyi/YPD-200C.html</w:t>
      </w:r>
    </w:p>
    <w:sectPr w:rsidR="00FC693F" w:rsidRPr="0006063C" w:rsidSect="00034616">
      <w:pgSz w:w="11906" w:h="16838"/>
      <w:pgMar w:top="964" w:right="1134"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12" w:lineRule="auto" w:after="120"/>
    </w:pPr>
    <w:rPr>
      <w:rFonts w:ascii="Arial" w:hAnsi="Arial"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rial" w:hAnsi="Arial" w:eastAsia="Microsoft YaHe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rial" w:hAnsi="Arial" w:eastAsia="Microsoft YaHe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eastAsia="Microsoft YaHe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eastAsia="Microsoft YaHe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上海黄海药检YPD-200C型片剂硬度仪 药片硬度计 硬度检测仪 产品资料</dc:title>
  <dc:subject>YPD-200C</dc:subject>
  <dc:creator>艾科仪器</dc:creator>
  <cp:keywords/>
  <dc:description/>
  <cp:lastModifiedBy/>
  <cp:revision>1</cp:revision>
  <dcterms:created xsi:type="dcterms:W3CDTF">2013-12-23T23:15:00Z</dcterms:created>
  <dcterms:modified xsi:type="dcterms:W3CDTF">2013-12-23T23:15:00Z</dcterms:modified>
  <cp:category/>
</cp:coreProperties>
</file>